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E891" w14:textId="5C7AFBF9" w:rsidR="00663C9C" w:rsidRDefault="00663C9C" w:rsidP="00663C9C">
      <w:pPr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302F802C" w14:textId="2CFE91F9" w:rsidR="00396283" w:rsidRDefault="00D55B1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D55B1C">
        <w:rPr>
          <w:noProof/>
          <w:lang w:val="ca-ES" w:eastAsia="ca-ES"/>
        </w:rPr>
        <w:drawing>
          <wp:inline distT="0" distB="0" distL="0" distR="0" wp14:anchorId="7F303383" wp14:editId="77352950">
            <wp:extent cx="4880168" cy="6321669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68" cy="63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CC22" w14:textId="60CE038D" w:rsidR="00663C9C" w:rsidRDefault="00663C9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589821DF" w14:textId="77777777" w:rsidR="00663C9C" w:rsidRDefault="00663C9C" w:rsidP="00663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3F2367">
        <w:rPr>
          <w:rFonts w:eastAsia="Times New Roman" w:cstheme="minorHAnsi"/>
          <w:color w:val="000000"/>
          <w:sz w:val="20"/>
          <w:szCs w:val="20"/>
          <w:lang w:eastAsia="es-ES"/>
        </w:rPr>
        <w:t>Para calcular las tasas se ha utilizado la población</w:t>
      </w:r>
      <w:r>
        <w:rPr>
          <w:rFonts w:eastAsia="Times New Roman" w:cstheme="minorHAnsi"/>
          <w:color w:val="000000"/>
          <w:sz w:val="20"/>
          <w:szCs w:val="20"/>
          <w:lang w:eastAsia="es-ES"/>
        </w:rPr>
        <w:t xml:space="preserve"> del padrón </w:t>
      </w:r>
      <w:r w:rsidRPr="003F2367">
        <w:rPr>
          <w:rFonts w:eastAsia="Times New Roman" w:cstheme="minorHAnsi"/>
          <w:color w:val="000000"/>
          <w:sz w:val="20"/>
          <w:szCs w:val="20"/>
          <w:lang w:eastAsia="es-ES"/>
        </w:rPr>
        <w:t xml:space="preserve">del año analizado a 1 de enero. </w:t>
      </w:r>
    </w:p>
    <w:p w14:paraId="5F584DC3" w14:textId="77777777" w:rsidR="00663C9C" w:rsidRDefault="00663C9C" w:rsidP="00663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5A6B11D6" w14:textId="77777777" w:rsidR="00663C9C" w:rsidRPr="003F2367" w:rsidRDefault="00663C9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2954D906" w14:textId="77777777" w:rsidR="008A2EF7" w:rsidRDefault="008A2EF7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1EFDA128" w14:textId="77777777" w:rsidR="00663C9C" w:rsidRDefault="00663C9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7006FA90" w14:textId="77777777" w:rsidR="00663C9C" w:rsidRDefault="00663C9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377EA39E" w14:textId="77777777" w:rsidR="00663C9C" w:rsidRDefault="00663C9C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</w:p>
    <w:p w14:paraId="37168822" w14:textId="56C75116" w:rsidR="00973156" w:rsidRPr="003F2367" w:rsidRDefault="003F2367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3F2367">
        <w:rPr>
          <w:rFonts w:eastAsia="Times New Roman" w:cstheme="minorHAnsi"/>
          <w:color w:val="000000"/>
          <w:sz w:val="20"/>
          <w:szCs w:val="20"/>
          <w:lang w:eastAsia="es-ES"/>
        </w:rPr>
        <w:lastRenderedPageBreak/>
        <w:t xml:space="preserve">En la segunda tabla se adjunta información relativa al ámbito de origen de los brotes, desglosada por años: 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D55B1C" w:rsidRPr="00D55B1C" w14:paraId="0D564544" w14:textId="77777777" w:rsidTr="00D55B1C">
        <w:trPr>
          <w:trHeight w:val="73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767148BB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  <w:t>AÑO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7300199A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  <w:t>Restauración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65E329E5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  <w:t>Domicilios particulares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56CB2742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  <w:t>Instituciones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4AADEC7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ES"/>
              </w:rPr>
              <w:t>Otras</w:t>
            </w:r>
          </w:p>
        </w:tc>
      </w:tr>
      <w:tr w:rsidR="00D55B1C" w:rsidRPr="00D55B1C" w14:paraId="7B54699D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41ABEA9D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2021</w:t>
            </w:r>
          </w:p>
        </w:tc>
      </w:tr>
      <w:tr w:rsidR="00D55B1C" w:rsidRPr="00D55B1C" w14:paraId="6E5E8E39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4B168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6C8E8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5C4C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BEA7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EDD9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D55B1C" w:rsidRPr="00D55B1C" w14:paraId="0A790017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C830C3B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2020</w:t>
            </w:r>
          </w:p>
        </w:tc>
      </w:tr>
      <w:tr w:rsidR="00D55B1C" w:rsidRPr="00D55B1C" w14:paraId="1B8818E6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51EDC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DDA14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0A49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B3DE8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2A74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</w:t>
            </w:r>
          </w:p>
        </w:tc>
      </w:tr>
      <w:tr w:rsidR="00D55B1C" w:rsidRPr="00D55B1C" w14:paraId="7EDA10E6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4F2FFBC2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2019</w:t>
            </w:r>
          </w:p>
        </w:tc>
      </w:tr>
      <w:tr w:rsidR="00D55B1C" w:rsidRPr="00D55B1C" w14:paraId="34C3050E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C73614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24DB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D5FDE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AC6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B73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D55B1C" w:rsidRPr="00D55B1C" w14:paraId="4B0F449F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8A5C8A5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2018</w:t>
            </w:r>
          </w:p>
        </w:tc>
      </w:tr>
      <w:tr w:rsidR="00D55B1C" w:rsidRPr="00D55B1C" w14:paraId="0B5AF102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86A12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9F401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9E6E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4DA8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041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D55B1C" w:rsidRPr="00D55B1C" w14:paraId="386A095A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ADC81BD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2017</w:t>
            </w:r>
          </w:p>
        </w:tc>
      </w:tr>
      <w:tr w:rsidR="00D55B1C" w:rsidRPr="00D55B1C" w14:paraId="4F3C7570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5856E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CAE98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2CAB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6E17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43AB1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</w:p>
        </w:tc>
      </w:tr>
      <w:tr w:rsidR="00D55B1C" w:rsidRPr="00D55B1C" w14:paraId="7D84F253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5D721B0F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2016</w:t>
            </w:r>
          </w:p>
        </w:tc>
      </w:tr>
      <w:tr w:rsidR="00D55B1C" w:rsidRPr="00D55B1C" w14:paraId="6F6B2643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15F39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FE52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F904B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F5481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9A8B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D55B1C" w:rsidRPr="00D55B1C" w14:paraId="4A00AE26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7CA7BCBE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2015</w:t>
            </w:r>
          </w:p>
        </w:tc>
      </w:tr>
      <w:tr w:rsidR="00D55B1C" w:rsidRPr="00D55B1C" w14:paraId="68B67E3E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5BBA7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B2F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A512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DB9B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D7BE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D55B1C" w:rsidRPr="00D55B1C" w14:paraId="3164F118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C15F501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2014</w:t>
            </w:r>
          </w:p>
        </w:tc>
      </w:tr>
      <w:tr w:rsidR="00D55B1C" w:rsidRPr="00D55B1C" w14:paraId="2F876F02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1F55F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F435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8605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155E5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8F121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D55B1C" w:rsidRPr="00D55B1C" w14:paraId="7F471ED5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79BA687B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2013</w:t>
            </w:r>
          </w:p>
        </w:tc>
      </w:tr>
      <w:tr w:rsidR="00D55B1C" w:rsidRPr="00D55B1C" w14:paraId="7D4413F1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6BDCC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3504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AC89A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7005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C52D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D55B1C" w:rsidRPr="00D55B1C" w14:paraId="109548C2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7BE0A13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2012</w:t>
            </w:r>
          </w:p>
        </w:tc>
      </w:tr>
      <w:tr w:rsidR="00D55B1C" w:rsidRPr="00D55B1C" w14:paraId="21009617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14E363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42D8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32D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054C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11FD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D55B1C" w:rsidRPr="00D55B1C" w14:paraId="1976A023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2E8AAF5F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2011</w:t>
            </w:r>
          </w:p>
        </w:tc>
      </w:tr>
      <w:tr w:rsidR="00D55B1C" w:rsidRPr="00D55B1C" w14:paraId="2964FF72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EA2345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815FD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05191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60C88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839E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D55B1C" w:rsidRPr="00D55B1C" w14:paraId="330352B5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22A870FD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2010</w:t>
            </w:r>
          </w:p>
        </w:tc>
      </w:tr>
      <w:tr w:rsidR="00D55B1C" w:rsidRPr="00D55B1C" w14:paraId="113651E2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8B775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C4D8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654EE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50CB9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5DC0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D55B1C" w:rsidRPr="00D55B1C" w14:paraId="7298B354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6BF00911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2009</w:t>
            </w:r>
          </w:p>
        </w:tc>
      </w:tr>
      <w:tr w:rsidR="00D55B1C" w:rsidRPr="00D55B1C" w14:paraId="69A22242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9BEB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70B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62CD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2F539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65044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25</w:t>
            </w:r>
          </w:p>
        </w:tc>
      </w:tr>
      <w:tr w:rsidR="00D55B1C" w:rsidRPr="00D55B1C" w14:paraId="56BD9DBF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0C092ADA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2008</w:t>
            </w:r>
          </w:p>
        </w:tc>
      </w:tr>
      <w:tr w:rsidR="00D55B1C" w:rsidRPr="00D55B1C" w14:paraId="00163306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9D33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08E2F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B870E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8DFBB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BD2E3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18</w:t>
            </w:r>
          </w:p>
        </w:tc>
      </w:tr>
      <w:tr w:rsidR="00D55B1C" w:rsidRPr="00D55B1C" w14:paraId="7482EE7B" w14:textId="77777777" w:rsidTr="00D55B1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6EB01783" w14:textId="77777777" w:rsidR="00D55B1C" w:rsidRPr="00D55B1C" w:rsidRDefault="00D55B1C" w:rsidP="00D55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2007</w:t>
            </w:r>
          </w:p>
        </w:tc>
      </w:tr>
      <w:tr w:rsidR="00D55B1C" w:rsidRPr="00D55B1C" w14:paraId="4F1F38B9" w14:textId="77777777" w:rsidTr="00D55B1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3CFE8" w14:textId="77777777" w:rsidR="00D55B1C" w:rsidRPr="00D55B1C" w:rsidRDefault="00D55B1C" w:rsidP="00D55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BCE6C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E897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9BD26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A41E9" w14:textId="77777777" w:rsidR="00D55B1C" w:rsidRPr="00D55B1C" w:rsidRDefault="00D55B1C" w:rsidP="00D5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5B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26</w:t>
            </w:r>
          </w:p>
        </w:tc>
      </w:tr>
    </w:tbl>
    <w:p w14:paraId="7BCFEA12" w14:textId="77777777" w:rsidR="00973156" w:rsidRPr="00500818" w:rsidRDefault="00973156" w:rsidP="005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</w:p>
    <w:p w14:paraId="72539EB6" w14:textId="77777777" w:rsidR="00500818" w:rsidRPr="00500818" w:rsidRDefault="00500818" w:rsidP="00500818">
      <w:pPr>
        <w:spacing w:after="0" w:line="240" w:lineRule="auto"/>
        <w:rPr>
          <w:rFonts w:eastAsia="Times New Roman" w:cstheme="minorHAnsi"/>
          <w:color w:val="000000"/>
          <w:lang w:eastAsia="es-ES"/>
        </w:rPr>
      </w:pPr>
    </w:p>
    <w:p w14:paraId="0CFC94CC" w14:textId="77777777" w:rsidR="00665DCC" w:rsidRPr="00500818" w:rsidRDefault="00665DCC" w:rsidP="00500818">
      <w:pPr>
        <w:jc w:val="both"/>
        <w:rPr>
          <w:rFonts w:cstheme="minorHAnsi"/>
        </w:rPr>
      </w:pPr>
      <w:bookmarkStart w:id="0" w:name="_GoBack"/>
      <w:bookmarkEnd w:id="0"/>
    </w:p>
    <w:sectPr w:rsidR="00665DCC" w:rsidRPr="00500818" w:rsidSect="002445B6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21826"/>
    <w:multiLevelType w:val="hybridMultilevel"/>
    <w:tmpl w:val="110C515C"/>
    <w:lvl w:ilvl="0" w:tplc="DFE29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3B"/>
    <w:rsid w:val="000B33A2"/>
    <w:rsid w:val="00126863"/>
    <w:rsid w:val="0017764A"/>
    <w:rsid w:val="00202492"/>
    <w:rsid w:val="00213A31"/>
    <w:rsid w:val="002445B6"/>
    <w:rsid w:val="0032381C"/>
    <w:rsid w:val="00396283"/>
    <w:rsid w:val="003F2367"/>
    <w:rsid w:val="00476506"/>
    <w:rsid w:val="00500818"/>
    <w:rsid w:val="00663C9C"/>
    <w:rsid w:val="00665DCC"/>
    <w:rsid w:val="0068103B"/>
    <w:rsid w:val="00856E53"/>
    <w:rsid w:val="008A2EF7"/>
    <w:rsid w:val="00904300"/>
    <w:rsid w:val="00973156"/>
    <w:rsid w:val="00B3171B"/>
    <w:rsid w:val="00D55B1C"/>
    <w:rsid w:val="00D6720B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80DC"/>
  <w15:chartTrackingRefBased/>
  <w15:docId w15:val="{97795A7C-C3D3-48A2-AA5A-01974B86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semiHidden/>
    <w:unhideWhenUsed/>
    <w:rsid w:val="00500818"/>
    <w:rPr>
      <w:color w:val="0000FF"/>
      <w:u w:val="single"/>
    </w:rPr>
  </w:style>
  <w:style w:type="character" w:styleId="Textennegreta">
    <w:name w:val="Strong"/>
    <w:basedOn w:val="Tipusdelletraperdefectedelpargraf"/>
    <w:uiPriority w:val="22"/>
    <w:qFormat/>
    <w:rsid w:val="00500818"/>
    <w:rPr>
      <w:b/>
      <w:bCs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500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semiHidden/>
    <w:rsid w:val="0050081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500818"/>
    <w:pPr>
      <w:ind w:left="720"/>
      <w:contextualSpacing/>
    </w:pPr>
  </w:style>
  <w:style w:type="paragraph" w:styleId="Senseespaiat">
    <w:name w:val="No Spacing"/>
    <w:link w:val="SenseespaiatCar"/>
    <w:uiPriority w:val="1"/>
    <w:qFormat/>
    <w:rsid w:val="00973156"/>
    <w:pPr>
      <w:spacing w:after="0" w:line="240" w:lineRule="auto"/>
    </w:pPr>
    <w:rPr>
      <w:rFonts w:eastAsiaTheme="minorEastAsia"/>
      <w:lang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73156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atos desglosados por años de los brotes de Toxiinfección alimentaria en Aragón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C94EC2-AB7C-4ADB-9661-9102F113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RESPUESTA A SOLICITUD DE INFORMACIÓN Nº1/2023 RELATIVA A LOS BROTES DE TOXI-INFECCIÓN ALIMENTARIA EN ARAGÓN DESDE LOS AÑOS 2007-2021.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RESPUESTA A SLICITUD DE INFORMACIÓN Nº1/2023 RELATIVA A LOS BROTES DE TOXI-INFECCIÓN ALIMENTARIA EN ARAGÓN DESDE LOS AÑOS 2007-2021.</dc:title>
  <dc:subject>Dirección General de Salud Pública. Gobierno de Aragón</dc:subject>
  <dc:creator>Servicio de Vigilancia en Salud Pública</dc:creator>
  <cp:keywords/>
  <dc:description/>
  <cp:lastModifiedBy>Ferran Allue, Isidre</cp:lastModifiedBy>
  <cp:revision>3</cp:revision>
  <cp:lastPrinted>2023-01-27T12:15:00Z</cp:lastPrinted>
  <dcterms:created xsi:type="dcterms:W3CDTF">2024-01-23T17:37:00Z</dcterms:created>
  <dcterms:modified xsi:type="dcterms:W3CDTF">2024-01-23T20:13:00Z</dcterms:modified>
</cp:coreProperties>
</file>